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6A" w:rsidRDefault="00B8086A" w:rsidP="00B8086A">
      <w:pPr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ОТЧЕТ О РЕЗУЛЬТАТАХ САМООБСЛЕДОВАНИЯ</w:t>
      </w:r>
    </w:p>
    <w:p w:rsidR="00B8086A" w:rsidRDefault="00B8086A" w:rsidP="00B8086A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МУНИЦИПАЛЬНОГО БЮДЖЕТНОГО  ДОШКОЛЬНОГО ОБРАЗОВАТЕЛЬНОГО УЧРЕЖДЕНИЯ ТАСКИНСКИЙ ДЕТСКИЙ САД «МАЛЫШОК»</w:t>
      </w:r>
    </w:p>
    <w:p w:rsidR="00B8086A" w:rsidRDefault="00B8086A" w:rsidP="00B8086A">
      <w:pPr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EFF" w:rsidRDefault="00E20EFF" w:rsidP="00B8086A">
      <w:pPr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E20EFF" w:rsidRDefault="00E20EFF" w:rsidP="00B8086A">
      <w:pPr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2024-2025г</w:t>
      </w: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</w:t>
      </w:r>
    </w:p>
    <w:p w:rsidR="00B8086A" w:rsidRDefault="00B8086A" w:rsidP="00B8086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ОТЧЕТ О РЕЗУЛЬТАТАХ САМООБСЛЕДОВАНИЯ</w:t>
      </w: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 ДОШКОЛЬНОГО ОБРАЗОВАТЕЛЬНОГО УЧРЕЖДЕНИЯ ТАСКИНСКИЙ ДЕТСКИЙ САД «МАЛЫШОК»</w:t>
      </w:r>
    </w:p>
    <w:p w:rsidR="00B8086A" w:rsidRDefault="00B8086A" w:rsidP="00B8086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оветская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48  за 202</w:t>
      </w:r>
      <w:r w:rsidR="005828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828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B8086A" w:rsidRDefault="00B8086A" w:rsidP="00B8086A">
      <w:pPr>
        <w:numPr>
          <w:ilvl w:val="0"/>
          <w:numId w:val="1"/>
        </w:num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</w:t>
      </w:r>
    </w:p>
    <w:p w:rsidR="00B8086A" w:rsidRDefault="00B8086A" w:rsidP="00B8086A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дошкольного 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«Малышок»</w:t>
      </w:r>
    </w:p>
    <w:p w:rsidR="00B8086A" w:rsidRDefault="00B8086A" w:rsidP="00B8086A">
      <w:pPr>
        <w:spacing w:before="120" w:after="0" w:line="240" w:lineRule="auto"/>
        <w:ind w:hanging="2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Полный адрес дошкольного образовательного учреждения:</w:t>
      </w:r>
    </w:p>
    <w:p w:rsidR="00B8086A" w:rsidRDefault="00B8086A" w:rsidP="00B8086A">
      <w:pPr>
        <w:spacing w:after="0" w:line="240" w:lineRule="auto"/>
        <w:ind w:hanging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субъект РФ: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___Красноярский край______________________________________</w:t>
      </w:r>
    </w:p>
    <w:p w:rsidR="00B8086A" w:rsidRDefault="00B8086A" w:rsidP="00B8086A">
      <w:pPr>
        <w:spacing w:after="0" w:line="240" w:lineRule="auto"/>
        <w:ind w:hanging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_____662855___________________________________________________</w:t>
      </w:r>
    </w:p>
    <w:p w:rsidR="00B8086A" w:rsidRDefault="00B8086A" w:rsidP="00B8086A">
      <w:pPr>
        <w:spacing w:after="0" w:line="240" w:lineRule="auto"/>
        <w:ind w:hanging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населенный пункт: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__село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8086A" w:rsidRDefault="00B8086A" w:rsidP="00B8086A">
      <w:pPr>
        <w:spacing w:after="0" w:line="240" w:lineRule="auto"/>
        <w:ind w:hanging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улица: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___Советская_____________________________________________________</w:t>
      </w:r>
    </w:p>
    <w:p w:rsidR="00B8086A" w:rsidRDefault="00B8086A" w:rsidP="00B8086A">
      <w:pPr>
        <w:spacing w:after="0" w:line="240" w:lineRule="auto"/>
        <w:ind w:hanging="2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дом: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48__________________________________________________________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</w:p>
    <w:p w:rsidR="00B8086A" w:rsidRDefault="00B8086A" w:rsidP="00B8086A">
      <w:pPr>
        <w:spacing w:after="0" w:line="240" w:lineRule="auto"/>
        <w:ind w:hanging="2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федеральный телефонный код города:  __391-37__ телефон: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39-2-38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</w:t>
      </w:r>
    </w:p>
    <w:p w:rsidR="00B8086A" w:rsidRPr="00B8086A" w:rsidRDefault="00B8086A" w:rsidP="00B8086A">
      <w:pPr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факс</w:t>
      </w:r>
      <w:r w:rsidRPr="00B8086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: ____________________ e-</w:t>
      </w:r>
      <w:r w:rsidRPr="004B3398">
        <w:rPr>
          <w:rFonts w:ascii="Times New Roman" w:hAnsi="Times New Roman"/>
          <w:lang w:val="en-US"/>
        </w:rPr>
        <w:t>mail: _</w:t>
      </w:r>
      <w:r w:rsidRPr="00473CD5">
        <w:rPr>
          <w:rFonts w:ascii="Times New Roman" w:hAnsi="Times New Roman"/>
          <w:lang w:val="en-US"/>
        </w:rPr>
        <w:t>taskinosad@rambler.ru</w:t>
      </w:r>
      <w:r w:rsidRPr="00B8086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_________________ </w:t>
      </w:r>
    </w:p>
    <w:p w:rsidR="00B8086A" w:rsidRDefault="00B8086A" w:rsidP="00B8086A">
      <w:pPr>
        <w:spacing w:before="120"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Заведующая  дошкольного образовательного учр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(ФИО, контактный телефон)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8086A" w:rsidRDefault="00B8086A" w:rsidP="00B8086A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Ирина Николаевна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Каяшкина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сотовый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89503064419</w:t>
      </w:r>
    </w:p>
    <w:p w:rsidR="00B8086A" w:rsidRDefault="00B8086A" w:rsidP="00B8086A">
      <w:pPr>
        <w:spacing w:before="120"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Воспитатели</w:t>
      </w:r>
    </w:p>
    <w:p w:rsidR="00B8086A" w:rsidRDefault="00473CD5" w:rsidP="00B80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Тимофеева Анна Викторовна воспитатель т:89504128532</w:t>
      </w:r>
    </w:p>
    <w:p w:rsidR="00B8086A" w:rsidRDefault="00473CD5" w:rsidP="00B80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.Борисова Алена Александровна воспитатель  т:895099990828</w:t>
      </w:r>
    </w:p>
    <w:p w:rsidR="00B8086A" w:rsidRPr="00B8086A" w:rsidRDefault="00473CD5" w:rsidP="00B808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.Глазырина Ксения Анатольевна т: 89509849840</w:t>
      </w:r>
    </w:p>
    <w:p w:rsidR="00B8086A" w:rsidRDefault="00B8086A" w:rsidP="00B808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ДЕТСКОГО САДА</w:t>
      </w:r>
    </w:p>
    <w:p w:rsidR="00B8086A" w:rsidRDefault="00B8086A" w:rsidP="00B8086A">
      <w:pPr>
        <w:spacing w:before="120"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содержит описание дошкольного образовательного учреждения, принципы его функционирования. </w:t>
      </w:r>
    </w:p>
    <w:p w:rsidR="00B8086A" w:rsidRDefault="00B8086A" w:rsidP="00B8086A">
      <w:pPr>
        <w:spacing w:before="120" w:after="0" w:line="240" w:lineRule="auto"/>
        <w:ind w:left="-28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история дошкольного образовательного учреждения; количество воспитанников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(в год, за весь период):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Учреждение: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«Малышок» является некоммерческим дошкольным образовательным учреждением.</w:t>
      </w:r>
    </w:p>
    <w:p w:rsidR="00B8086A" w:rsidRDefault="00B8086A" w:rsidP="00B8086A">
      <w:pPr>
        <w:tabs>
          <w:tab w:val="left" w:pos="540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Учредитель: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Администрация Каратузского района  Муниципальное дошкольное образовательное учреждение детский сад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«Малышок 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функционирует на основе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Устава и Лицензии.</w:t>
      </w:r>
    </w:p>
    <w:p w:rsidR="00B8086A" w:rsidRDefault="00B8086A" w:rsidP="00B8086A">
      <w:pPr>
        <w:tabs>
          <w:tab w:val="left" w:pos="540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Заведующая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дошкольного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Каяшкина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 Николаевна.</w:t>
      </w:r>
    </w:p>
    <w:p w:rsidR="00B8086A" w:rsidRDefault="00B8086A" w:rsidP="00B8086A">
      <w:pPr>
        <w:tabs>
          <w:tab w:val="left" w:pos="5400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sz w:val="24"/>
          <w:szCs w:val="24"/>
        </w:rPr>
        <w:t>Таскинский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"Малышок" в 2019г справил новоселье в реконструируемом здании колхозной конторы постройки 1965 года. В детском саду работает три разновозрастные группы. Дополнительно к занятиям в саду занимается психолог, ведутся кружки: технической, научно-исследовательской и творческой направленности.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Ежегодно мы выпускаем от 8</w:t>
      </w:r>
      <w:r w:rsidR="004B3398">
        <w:rPr>
          <w:rFonts w:ascii="Times New Roman" w:eastAsia="Times New Roman" w:hAnsi="Times New Roman"/>
          <w:sz w:val="24"/>
          <w:szCs w:val="24"/>
          <w:lang w:eastAsia="ru-RU"/>
        </w:rPr>
        <w:t xml:space="preserve"> до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ребят,  за весь период деятельности выпущено более 400 ребят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>
        <w:rPr>
          <w:rStyle w:val="a3"/>
          <w:sz w:val="24"/>
          <w:szCs w:val="24"/>
        </w:rPr>
        <w:t>Миссия МБДОУ:</w:t>
      </w:r>
      <w:r>
        <w:rPr>
          <w:rFonts w:ascii="Times New Roman" w:hAnsi="Times New Roman"/>
          <w:bCs/>
          <w:sz w:val="24"/>
          <w:szCs w:val="24"/>
        </w:rPr>
        <w:t xml:space="preserve"> создание 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>
        <w:rPr>
          <w:rFonts w:ascii="Times New Roman" w:hAnsi="Times New Roman"/>
          <w:bCs/>
          <w:sz w:val="24"/>
          <w:szCs w:val="24"/>
        </w:rPr>
        <w:lastRenderedPageBreak/>
        <w:t>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есть: 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групповых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комнаты;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физкультурно-музыкальный зал; 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медицинский блок;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заведующей;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методический кабинет;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пищеблок;</w:t>
      </w:r>
    </w:p>
    <w:p w:rsidR="00B8086A" w:rsidRDefault="00B8086A" w:rsidP="00B8086A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3398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086A" w:rsidRPr="004B3398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Списочный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состав  - </w:t>
      </w:r>
      <w:r w:rsidR="008E124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27</w:t>
      </w:r>
      <w:r w:rsidRPr="004B33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ребенка</w:t>
      </w:r>
    </w:p>
    <w:p w:rsidR="00B8086A" w:rsidRPr="004B3398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33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 Количество 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возрастных групп </w:t>
      </w:r>
      <w:r w:rsidRPr="004B33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3, 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 них:</w:t>
      </w:r>
    </w:p>
    <w:p w:rsidR="00B8086A" w:rsidRPr="004B3398" w:rsidRDefault="00B8086A" w:rsidP="00B8086A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младшая разновозрастная группа – 8 детей;</w:t>
      </w:r>
    </w:p>
    <w:p w:rsidR="00B8086A" w:rsidRPr="004B3398" w:rsidRDefault="00B8086A" w:rsidP="00B8086A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сре</w:t>
      </w:r>
      <w:r w:rsidR="008E1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дняя разновозрастная группа – 8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детей;</w:t>
      </w:r>
    </w:p>
    <w:p w:rsidR="00B8086A" w:rsidRPr="004B3398" w:rsidRDefault="00B8086A" w:rsidP="00B8086A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ста</w:t>
      </w:r>
      <w:r w:rsidR="00DF1D8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ршая разновозрастная группа – 11</w:t>
      </w: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детей;</w:t>
      </w:r>
    </w:p>
    <w:p w:rsidR="00B8086A" w:rsidRPr="004B3398" w:rsidRDefault="00B8086A" w:rsidP="00B8086A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B33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имеется 11 свободных мест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Количество сотрудников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расписанию 18,25 с</w:t>
      </w:r>
      <w:r w:rsidR="009F72D1">
        <w:rPr>
          <w:rFonts w:ascii="Times New Roman" w:eastAsia="Times New Roman" w:hAnsi="Times New Roman"/>
          <w:sz w:val="24"/>
          <w:szCs w:val="24"/>
          <w:lang w:eastAsia="ru-RU"/>
        </w:rPr>
        <w:t>тавки, фактическое количество 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сотрудников и два совместителя. Из</w:t>
      </w:r>
      <w:r w:rsidR="00473CD5">
        <w:rPr>
          <w:rFonts w:ascii="Times New Roman" w:eastAsia="Times New Roman" w:hAnsi="Times New Roman"/>
          <w:sz w:val="24"/>
          <w:szCs w:val="24"/>
          <w:lang w:eastAsia="ru-RU"/>
        </w:rPr>
        <w:t xml:space="preserve"> них педагогических работников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младших воспитателей -3.</w:t>
      </w:r>
    </w:p>
    <w:p w:rsidR="00B8086A" w:rsidRDefault="00B8086A" w:rsidP="00B8086A">
      <w:pPr>
        <w:tabs>
          <w:tab w:val="left" w:pos="5400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учреждения – 9 часов, рабочая неделя – 5 дней, выходные дни – суббота и воскресенье.</w:t>
      </w:r>
    </w:p>
    <w:p w:rsidR="00B8086A" w:rsidRDefault="00B8086A" w:rsidP="00B8086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Коллектив дошкольного образовательного учреждения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(численность, уровень образования педагогического коллектива, др. информация)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профессионального уровня педагогов позволяют сделать выводы о том, что коллектив нашего детского сада:</w:t>
      </w:r>
    </w:p>
    <w:p w:rsidR="00B8086A" w:rsidRDefault="00B8086A" w:rsidP="00B8086A">
      <w:pPr>
        <w:numPr>
          <w:ilvl w:val="0"/>
          <w:numId w:val="4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сплоченный, квалифицированный, имеет хороший уровень педагогической культуры;</w:t>
      </w:r>
    </w:p>
    <w:p w:rsidR="00B8086A" w:rsidRDefault="00B8086A" w:rsidP="00B8086A">
      <w:pPr>
        <w:numPr>
          <w:ilvl w:val="0"/>
          <w:numId w:val="4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работоспособный, т.е. опытный (1 педагог  имеют стаж выше 20 лет) и одн</w:t>
      </w:r>
      <w:r w:rsidR="004B3398">
        <w:rPr>
          <w:rFonts w:ascii="Times New Roman" w:eastAsia="Times New Roman" w:hAnsi="Times New Roman"/>
          <w:sz w:val="24"/>
          <w:szCs w:val="24"/>
          <w:lang w:eastAsia="ru-RU"/>
        </w:rPr>
        <w:t>овременно перспективный (у двоих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воспитателей, стаж выше 10 лет</w:t>
      </w:r>
      <w:r w:rsidR="009F72D1">
        <w:rPr>
          <w:rFonts w:ascii="Times New Roman" w:eastAsia="Times New Roman" w:hAnsi="Times New Roman"/>
          <w:sz w:val="24"/>
          <w:szCs w:val="24"/>
          <w:lang w:eastAsia="ru-RU"/>
        </w:rPr>
        <w:t xml:space="preserve"> и у одного воспитателя, стаж выше 6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</w:t>
      </w:r>
      <w:r w:rsidR="00473CD5">
        <w:rPr>
          <w:rFonts w:ascii="Times New Roman" w:eastAsia="Times New Roman" w:hAnsi="Times New Roman"/>
          <w:sz w:val="24"/>
          <w:szCs w:val="24"/>
          <w:lang w:eastAsia="ru-RU"/>
        </w:rPr>
        <w:t>огический коллектив состоит из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педагогов, среди них: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</w:t>
      </w:r>
      <w:r w:rsidR="00473CD5">
        <w:rPr>
          <w:rFonts w:ascii="Times New Roman" w:eastAsia="Times New Roman" w:hAnsi="Times New Roman"/>
          <w:sz w:val="24"/>
          <w:szCs w:val="24"/>
          <w:lang w:eastAsia="ru-RU"/>
        </w:rPr>
        <w:t>итатели –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Специалисты:</w:t>
      </w:r>
    </w:p>
    <w:p w:rsidR="00B8086A" w:rsidRDefault="00B8086A" w:rsidP="00B8086A">
      <w:pPr>
        <w:numPr>
          <w:ilvl w:val="0"/>
          <w:numId w:val="5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– 1.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Средний возраст педагогического состава:</w:t>
      </w:r>
    </w:p>
    <w:p w:rsidR="00B8086A" w:rsidRDefault="00887544" w:rsidP="00B8086A">
      <w:pPr>
        <w:numPr>
          <w:ilvl w:val="0"/>
          <w:numId w:val="6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30-40 лет- 2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педагога;</w:t>
      </w:r>
    </w:p>
    <w:p w:rsidR="00B8086A" w:rsidRDefault="00887544" w:rsidP="00B8086A">
      <w:pPr>
        <w:numPr>
          <w:ilvl w:val="0"/>
          <w:numId w:val="6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40-50 лет – 2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педагога;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По стажу:</w:t>
      </w:r>
    </w:p>
    <w:p w:rsidR="00B8086A" w:rsidRDefault="009F72D1" w:rsidP="00B8086A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 до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–1 педагог;</w:t>
      </w:r>
    </w:p>
    <w:p w:rsidR="00B8086A" w:rsidRDefault="009F72D1" w:rsidP="00B8086A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свыше 10 лет – 2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педагога;</w:t>
      </w:r>
    </w:p>
    <w:p w:rsidR="00B8086A" w:rsidRDefault="00B8086A" w:rsidP="00B8086A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свыше 30 лет – 1 педагог.</w:t>
      </w:r>
    </w:p>
    <w:p w:rsidR="00B8086A" w:rsidRDefault="00B8086A" w:rsidP="00B8086A">
      <w:pPr>
        <w:tabs>
          <w:tab w:val="left" w:pos="5400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95C93C" wp14:editId="4355BD9E">
            <wp:extent cx="37623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28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6A" w:rsidRDefault="00B8086A" w:rsidP="00B8086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8086A" w:rsidRDefault="00B8086A" w:rsidP="00B8086A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58206D" wp14:editId="0EE0E120">
            <wp:extent cx="4010025" cy="2343150"/>
            <wp:effectExtent l="0" t="0" r="9525" b="1905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086A" w:rsidRDefault="00887544" w:rsidP="00B8086A">
      <w:pPr>
        <w:tabs>
          <w:tab w:val="left" w:pos="708"/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8086A" w:rsidRDefault="00B8086A" w:rsidP="00B8086A">
      <w:pPr>
        <w:tabs>
          <w:tab w:val="left" w:pos="708"/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292ED6" wp14:editId="1AF6BA03">
            <wp:extent cx="4467225" cy="2152650"/>
            <wp:effectExtent l="0" t="0" r="9525" b="1905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Основные особенности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-образовательного процесса детей, использование инновационных методик: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учреждение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образовательной программе утвержденным МБДОУ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«Малышок».</w:t>
      </w:r>
    </w:p>
    <w:p w:rsidR="00B8086A" w:rsidRDefault="00B8086A" w:rsidP="00B8086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8086A" w:rsidRDefault="00B8086A" w:rsidP="00B8086A">
      <w:pPr>
        <w:numPr>
          <w:ilvl w:val="0"/>
          <w:numId w:val="8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ребёнком дошкольного детства; </w:t>
      </w:r>
    </w:p>
    <w:p w:rsidR="00B8086A" w:rsidRDefault="00B8086A" w:rsidP="00B8086A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базовой культуры личности; </w:t>
      </w:r>
    </w:p>
    <w:p w:rsidR="00B8086A" w:rsidRDefault="00B8086A" w:rsidP="00B8086A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всестороннее развитие психических и физических качеств в соответствии с возрастными и индивидуальными особенностями; </w:t>
      </w:r>
    </w:p>
    <w:p w:rsidR="00B8086A" w:rsidRDefault="00B8086A" w:rsidP="00B8086A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ребёнка к жизни в современном обществе.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Дошкольное учреждение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использует в своей работе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парциальные программы:</w:t>
      </w:r>
    </w:p>
    <w:p w:rsidR="00B8086A" w:rsidRDefault="00B8086A" w:rsidP="00B8086A">
      <w:pPr>
        <w:numPr>
          <w:ilvl w:val="0"/>
          <w:numId w:val="10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С.Николаева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«Юный эколог»</w:t>
      </w:r>
    </w:p>
    <w:p w:rsidR="00B8086A" w:rsidRDefault="00B8086A" w:rsidP="00B8086A">
      <w:pPr>
        <w:numPr>
          <w:ilvl w:val="0"/>
          <w:numId w:val="11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внедрения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компонента в образовательный процесс.</w:t>
      </w:r>
    </w:p>
    <w:p w:rsidR="00B8086A" w:rsidRDefault="00B8086A" w:rsidP="00B8086A">
      <w:pPr>
        <w:numPr>
          <w:ilvl w:val="0"/>
          <w:numId w:val="11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Бударина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«Знакомство детей с русским народным творчеством»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Приоритетные направления деятельности детского сада:</w:t>
      </w:r>
    </w:p>
    <w:p w:rsidR="00B8086A" w:rsidRDefault="00B8086A" w:rsidP="00B8086A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Экологическое воспитание детей;</w:t>
      </w:r>
    </w:p>
    <w:p w:rsidR="00B8086A" w:rsidRDefault="00B8086A" w:rsidP="00B8086A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Оздоровительно – профилактическая работа с детьми;</w:t>
      </w:r>
    </w:p>
    <w:p w:rsidR="00B8086A" w:rsidRDefault="00B8086A" w:rsidP="00B8086A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Русское народное творчество.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работе по этим программам  накоплен большой опыт, создана требуемая предметно - развивающая среда, которая отвечает всем требованиям данной программы и санитарно – гигиеническим нормам.  Отработаны необходимые методы, приемы, формы работы с детьми, которые отвечают выбранным направлениям.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Экологическое воспитание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Экологическое воспитание как приоритетное направление было выделено педагогами детского сада </w:t>
      </w:r>
      <w:r w:rsidR="006E529B" w:rsidRPr="006E52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2023</w:t>
      </w:r>
      <w:r w:rsidRPr="006E52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году. Для усиления этого направления была введена в работу парциальная программа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С.Николаевой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«Юный эколог», которая подразумевает организацию природной зоны в помещении детского сада и на его территории.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Так как площади помещения детского сада не позволяют нам создать экологическую комнату, нами  создан экологический уголок, в котором находятся различные комнатные растения, На территории детск</w:t>
      </w:r>
      <w:r w:rsidR="006B0ACF">
        <w:rPr>
          <w:rFonts w:ascii="Times New Roman" w:eastAsia="Times New Roman" w:hAnsi="Times New Roman"/>
          <w:sz w:val="24"/>
          <w:szCs w:val="24"/>
          <w:lang w:eastAsia="ru-RU"/>
        </w:rPr>
        <w:t>ого сада создана экологическая тропа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которая  будет включать в себя</w:t>
      </w:r>
      <w:r w:rsidR="006B0AC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 видовых точек.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внимания уделяем формированию положительной мотивации путем вовлечения учащихся в  работу на участке. Начиная с ранней весны и до  поздней осени, дети помогают воспитателям ухаживать за клумбами, высаживать на огороде рассаду, убирать урожай.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Воспитателями накоплен определенный опыт  использования экологического воспитания. Разработана и утверждена на Совете педагогов нашего дошкольного учреждения программа «Природа и экология Красноярского края»– это природа, праздники, замечательные люди, юбилейные даты народов, проживающих в крае. Собранный  краеведческий материал (фото, газеты, информационные карты) существенно дополняет содержательную сторону речи и готовит детей к реальной межкультурной коммуникации, развивает логическое мышление, учит толерантности.                         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Русское народное творчество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 последнее десятилетие произошло одно изменение, на которое взрослые, в силу своей взрослости, не обратили внимания - коренным образом изменился мир ребенка. В интеллектуальном марафоне, предлагаемом современной жизнью, душевные качества, которые являются отличительной особенностью русского характера, любовь во взаимоотношениях с людьми, способность к сопереживанию и многое другое остаются за гранью воспитательного и образовательного процессов. Ребенка учит то, что его окружает.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провели мини анкету «Мои интересы».   </w:t>
      </w:r>
    </w:p>
    <w:p w:rsidR="00B8086A" w:rsidRDefault="002E3985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Из 19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опрошенных детей старшей и средней разновозрастных групп:</w:t>
      </w:r>
      <w:r w:rsidR="00B8086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18 детей – </w:t>
      </w:r>
      <w:proofErr w:type="gramStart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отдают предпочтение мультфильмам и сказкам западного производства среди них наибольшей популярностью пользуется</w:t>
      </w:r>
      <w:proofErr w:type="gramEnd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«Том и Джерри», на вопрос о любимом герое, только 9 детей назвали имена русских персонажей – дед Мороз, Аленушка, и </w:t>
      </w:r>
      <w:proofErr w:type="spellStart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тд</w:t>
      </w:r>
      <w:proofErr w:type="spellEnd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. Более 50% опрошенных детей проводят свое свободное время, за просмотром телепередач и игрой в компьютерные игры. Дети </w:t>
      </w:r>
      <w:proofErr w:type="gramStart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>взахлеб</w:t>
      </w:r>
      <w:proofErr w:type="gramEnd"/>
      <w:r w:rsidR="00B8086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пересказывают содержание мультсериалов. Но не всегда могут пересказать сказку. Забыты русские традиции и обычаи. 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Фольклор является идеально доступным для ребенка носителем основных морально - этических норм, основных моделей поведения людей и типов взаимодействия между ними.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Воспитатели каждой группы нашего детского сада разработали программы по возрождению народной культуры.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старшей группе  - «Народный фольклор», в средней – «Народные праздники», в младшей  - « Народные игры».</w:t>
      </w:r>
      <w:proofErr w:type="gramEnd"/>
    </w:p>
    <w:p w:rsidR="00582874" w:rsidRDefault="00B8086A" w:rsidP="005828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Через игру, песню, сказку ребенок учится воспринимать мир, преодолевать зло, приобретает трудовые навыки. На примере многочисленных загадок,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прибауток, детских дразнилок, народных примет, игр учится отрабатывать выразительную интонацию, динамику голоса, артикуляцию, жестикуляцию, мимику. Традиционная русская культура ненавязчиво и в интересной форме воспитывает доброту, терпение, сопереживание. Благодаря систематической работе с детьми, можно сказать о положительной динамике в развитии нравственно-психологического климата детского коллектива, взаимоотношения мальчиков и девочек доброжелательны, дети чувствуют ответственность друг за друга, вежливы, в большинстве тактичны, охотно откликаются на   совместную деятельность.</w:t>
      </w:r>
    </w:p>
    <w:p w:rsidR="00582874" w:rsidRDefault="00B8086A" w:rsidP="0058287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Оздоровительно – профилактическая работа с детьми</w:t>
      </w:r>
    </w:p>
    <w:p w:rsidR="00B8086A" w:rsidRDefault="00B8086A" w:rsidP="0058287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показателем результатов работы дошкольного учреждения является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  Разработана и внедряется в жизнь программа « Внедрение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компонента в воспитательный процесс». В своей работе опираемся на технологию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здоровьеразвивающего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доктора В.Ф. Базарного. Сами изготовили и применяем массажные коврики,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офтольмотренажеры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Работа в таком режиме исключает случаи нарушения осанки, помогает сохранить зрение. Из технологии В.Ф. Базарного взяли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рукотворчество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Для этого пригласили родителя, который согласился на общественных началах вести кружок «Волшебная глина», зная, что лепка – это хороший способ развивать мелкую моторику рук, что является важной ступенью к творчеству, развитию духовного начала. Дети с проблемами развития находятся в зоне повышенного внимания. Для детей одаренных и с проблемами двигательного аппарата ввели кружок «Хореографии», который тоже ведет родительница. На базе детского сада организован детский танцевальный ансамбль «Веснушки» и взрослый «Сударушка».  Медицинский осмотр детей перед школой показывает, что наши дети имеют хорошую ос</w:t>
      </w:r>
      <w:r w:rsidR="00582874">
        <w:rPr>
          <w:rFonts w:ascii="Times New Roman" w:eastAsia="Times New Roman" w:hAnsi="Times New Roman"/>
          <w:sz w:val="24"/>
          <w:szCs w:val="24"/>
          <w:lang w:eastAsia="ru-RU"/>
        </w:rPr>
        <w:t xml:space="preserve">анку, 100% </w:t>
      </w:r>
      <w:proofErr w:type="spellStart"/>
      <w:r w:rsidR="00582874">
        <w:rPr>
          <w:rFonts w:ascii="Times New Roman" w:eastAsia="Times New Roman" w:hAnsi="Times New Roman"/>
          <w:sz w:val="24"/>
          <w:szCs w:val="24"/>
          <w:lang w:eastAsia="ru-RU"/>
        </w:rPr>
        <w:t>зре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Особое внимание уделяем работе с родителями, считаем, что постоянное взаимодействие семьи и  детского сада обогащает воспитательную среду. Используем для этого как традиционные (родительские собрания, педагогические лектории, дни открытых дверей, посещение семей, родительские конференции), так и те которые только начинают входить в нашу практику (педагогические практикумы, ролевые игры).  Все это позволило создать единое воспитательное поле, единую социальную среду.       В детском саду сложились свои традиции это «Дни именинника», совместные с родителями праздники-чаепития посвященные «Дню матери», «8 марта», «23 февраля», «Новогодние праздники», «Рождественские посиделки», «Колядк</w:t>
      </w:r>
      <w:r w:rsidR="002E3985">
        <w:rPr>
          <w:rFonts w:ascii="Times New Roman" w:eastAsia="Times New Roman" w:hAnsi="Times New Roman"/>
          <w:sz w:val="24"/>
          <w:szCs w:val="24"/>
          <w:lang w:eastAsia="ru-RU"/>
        </w:rPr>
        <w:t>и», встречи с ветеранами</w:t>
      </w:r>
      <w:r w:rsidR="00582874">
        <w:rPr>
          <w:rFonts w:ascii="Times New Roman" w:eastAsia="Times New Roman" w:hAnsi="Times New Roman"/>
          <w:sz w:val="24"/>
          <w:szCs w:val="24"/>
          <w:lang w:eastAsia="ru-RU"/>
        </w:rPr>
        <w:t xml:space="preserve"> тыла, «Семейные посиделки».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Одним из показателей работы дошкольного учреждения является отслеживание успехов и результатов учебы детей в школе. Мы поддерживаем тесную связь с учителями начальных классов – это совместные семинары, круглые столы,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Учителя начальных классов отмечают высокую подготовленность детей к школьному обучению: у детей сформирован уровень учебной деятельности, большой потенциал интеллектуальных способностей. От педагогического мастерства каждого воспитателя, его культуры, любви к детям  зависит уровень общего развития, которого достигнет ребёнок, и степень приобретённых им нравственных качеств. Именно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такие педагоги трудятся в  нашем детском саду. Воспитатели находятся в постоянном творческом поиске, в МДОУ накапливается методический и дидактический материал.</w:t>
      </w:r>
    </w:p>
    <w:p w:rsidR="00B8086A" w:rsidRDefault="00B8086A" w:rsidP="00B808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утверждено положение о внутренней системе оценки качества образования от 19.09.2016. Мониторинг качества образовательной деятельности в </w:t>
      </w:r>
      <w:r w:rsidR="00F36FD8" w:rsidRPr="00F36F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</w:t>
      </w:r>
      <w:r w:rsidRPr="00F36F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здоровья и физического развития воспитанников удовлетворительные. 89 процентов детей успешно освоили</w:t>
      </w:r>
      <w:r w:rsidR="002E39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F87">
        <w:rPr>
          <w:rFonts w:ascii="Times New Roman" w:eastAsia="Times New Roman" w:hAnsi="Times New Roman"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E529B" w:rsidRPr="006E52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 с 12.10.2024 по 19.10.2024</w:t>
      </w:r>
      <w:r w:rsidRPr="006E52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проводилось анкетирование 27родителей, получены следующие результаты: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доля получателей услуг, положительно оценивающих доброжелательность и вежливость работников организации, -91 процент;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доля получателей услуг, удовлетворенных компетентностью работников организации, – 89 процента;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доля получателей услуг, удовлетворенных материально-техническим обеспечением организации, – 75 процентов;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доля получателей услуг, удовлетворенных качеством предоставляемых образовательных услуг, – 84 процента;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доля получателей услуг, которые готовы рекомендовать организацию родственникам и знакомым, – 92 процента.</w:t>
      </w:r>
    </w:p>
    <w:p w:rsidR="00B8086A" w:rsidRDefault="00B8086A" w:rsidP="00B8086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8086A" w:rsidRDefault="00B8086A" w:rsidP="00582874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B8086A" w:rsidRDefault="00B8086A" w:rsidP="00B80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Награды и иные достижения дошкольного образовательного учреждения: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8086A" w:rsidRDefault="00B8086A" w:rsidP="00B8086A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 внимания уделяется формированию положительной мотивации путем вовлечения детей в общественную жизнь. Дети – постоянные участники и победители краевых, районных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конкурсах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Коллектив МБДОУ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Таскинский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«Малышок» занял первое место в районном  смотре - конкурсе по благоустройству территории среди бюджетных организаций диплом «Лучшая территория образовательной организации-2022». </w:t>
      </w:r>
      <w:r w:rsidR="008E4358">
        <w:rPr>
          <w:rFonts w:ascii="Times New Roman" w:eastAsia="Times New Roman" w:hAnsi="Times New Roman"/>
          <w:sz w:val="24"/>
          <w:szCs w:val="24"/>
          <w:lang w:eastAsia="ru-RU"/>
        </w:rPr>
        <w:t>Педагоги участвовали в краевых конкурсах «Сказка зимнего двора» «Ярмарка любимых игр»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2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Старшая разновозрастная группа «Капельки» участие в районном спортивном конкурсе среди детей дошкольных образовательных учреждений «Веселые старты-2023»- кубок, грамоты и медали за первое место.</w:t>
      </w:r>
      <w:r w:rsidR="00C82444" w:rsidRPr="00C824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>В2024 ездили на передачу кубка. Де</w:t>
      </w:r>
      <w:r w:rsidR="008E435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>старшой</w:t>
      </w:r>
      <w:proofErr w:type="gramEnd"/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«Капелька» публиковались в федеральном журнале «Звездочка наша» 1-2 место.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Грамота за участие в районном конкурсе среди детей дошкольного</w:t>
      </w:r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 «Звездная страна -2025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 Примером для детей являются воспитатели. Один воспитатель принял  участие в районном конкурсе « В</w:t>
      </w:r>
      <w:r w:rsidR="00F01F87">
        <w:rPr>
          <w:rFonts w:ascii="Times New Roman" w:eastAsia="Times New Roman" w:hAnsi="Times New Roman"/>
          <w:sz w:val="24"/>
          <w:szCs w:val="24"/>
          <w:lang w:eastAsia="ru-RU"/>
        </w:rPr>
        <w:t>оспитатель года»</w:t>
      </w:r>
      <w:r w:rsidR="00E20EFF">
        <w:rPr>
          <w:rFonts w:ascii="Times New Roman" w:eastAsia="Times New Roman" w:hAnsi="Times New Roman"/>
          <w:sz w:val="24"/>
          <w:szCs w:val="24"/>
          <w:lang w:eastAsia="ru-RU"/>
        </w:rPr>
        <w:t>. Два воспитателя приняли участие в краевом проекте «Музеи Енисейской Сибири детям» «Искусство в глубинку».</w:t>
      </w:r>
      <w:r w:rsidR="00F01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в детском саду проводятся выставки рисунков ко</w:t>
      </w:r>
      <w:r w:rsidR="008E4358">
        <w:rPr>
          <w:rFonts w:ascii="Times New Roman" w:eastAsia="Times New Roman" w:hAnsi="Times New Roman"/>
          <w:sz w:val="24"/>
          <w:szCs w:val="24"/>
          <w:lang w:eastAsia="ru-RU"/>
        </w:rPr>
        <w:t xml:space="preserve"> «Дню </w:t>
      </w:r>
      <w:r w:rsidR="008E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дошкольного работника»,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Дню матери», 23 февраля, 8 марта, «Новогодние плакаты». Принимаем  активное участие в СДК, сельская библиотека, сельская картинная галерея. Хорошей традицией стало проведение мероприятий: «Туристическая прогулка», «Новогодний утренник», досуги. В детском саду проходят дни открытых дверей. В каждой группе проводятся консультации с родителями педагогом-психологом. О детском саде есть заметки в районной газете «Знамя труда», это «Звездная страна», «23 февраля», «Выставка цветов». Тесно сотрудничаем с другими детскими садами района, с «Центром Радуга» и методическим отделом.</w:t>
      </w: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8086A" w:rsidRDefault="00B8086A" w:rsidP="00B8086A">
      <w:pPr>
        <w:spacing w:after="0" w:line="240" w:lineRule="auto"/>
        <w:ind w:left="-284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B8086A" w:rsidRDefault="00B8086A" w:rsidP="00B8086A">
      <w:pPr>
        <w:rPr>
          <w:rFonts w:eastAsia="Times New Roman"/>
          <w:lang w:eastAsia="ru-RU"/>
        </w:rPr>
      </w:pPr>
    </w:p>
    <w:p w:rsidR="00B8086A" w:rsidRDefault="00B8086A" w:rsidP="00B8086A"/>
    <w:p w:rsidR="00D97AA8" w:rsidRDefault="00D97AA8"/>
    <w:sectPr w:rsidR="00D9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DFA"/>
    <w:multiLevelType w:val="hybridMultilevel"/>
    <w:tmpl w:val="885E2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41256"/>
    <w:multiLevelType w:val="hybridMultilevel"/>
    <w:tmpl w:val="2F86B37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14664A32"/>
    <w:multiLevelType w:val="hybridMultilevel"/>
    <w:tmpl w:val="25BACCB0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9017064"/>
    <w:multiLevelType w:val="hybridMultilevel"/>
    <w:tmpl w:val="F6A49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E109D"/>
    <w:multiLevelType w:val="hybridMultilevel"/>
    <w:tmpl w:val="0CA44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3583E"/>
    <w:multiLevelType w:val="hybridMultilevel"/>
    <w:tmpl w:val="FBC2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0023B"/>
    <w:multiLevelType w:val="hybridMultilevel"/>
    <w:tmpl w:val="7DC0AE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37778C"/>
    <w:multiLevelType w:val="hybridMultilevel"/>
    <w:tmpl w:val="0948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A3ACC"/>
    <w:multiLevelType w:val="hybridMultilevel"/>
    <w:tmpl w:val="D980B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8082E"/>
    <w:multiLevelType w:val="hybridMultilevel"/>
    <w:tmpl w:val="2BD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66B6B"/>
    <w:multiLevelType w:val="hybridMultilevel"/>
    <w:tmpl w:val="7806FAC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73E907EC"/>
    <w:multiLevelType w:val="hybridMultilevel"/>
    <w:tmpl w:val="546037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A8"/>
    <w:rsid w:val="002E3985"/>
    <w:rsid w:val="00473CD5"/>
    <w:rsid w:val="004B3398"/>
    <w:rsid w:val="00582874"/>
    <w:rsid w:val="006B0ACF"/>
    <w:rsid w:val="006E529B"/>
    <w:rsid w:val="00887544"/>
    <w:rsid w:val="008E124B"/>
    <w:rsid w:val="008E4358"/>
    <w:rsid w:val="009F72D1"/>
    <w:rsid w:val="00B8086A"/>
    <w:rsid w:val="00B83214"/>
    <w:rsid w:val="00C82444"/>
    <w:rsid w:val="00D97AA8"/>
    <w:rsid w:val="00DF1D8E"/>
    <w:rsid w:val="00E20EFF"/>
    <w:rsid w:val="00F01F87"/>
    <w:rsid w:val="00F3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8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6A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80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0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8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6A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80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0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образования педагогических кадров</a:t>
            </a:r>
          </a:p>
        </c:rich>
      </c:tx>
      <c:layout>
        <c:manualLayout>
          <c:xMode val="edge"/>
          <c:yMode val="edge"/>
          <c:x val="0.12195121951219512"/>
          <c:y val="2.127659574468085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14634146341465"/>
          <c:y val="0.17446808510638298"/>
          <c:w val="0.74146341463414633"/>
          <c:h val="0.4510638297872340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7999616"/>
        <c:axId val="43086912"/>
        <c:axId val="0"/>
      </c:bar3DChart>
      <c:catAx>
        <c:axId val="197999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ряд 1 высшее 
ряд 2 неоконченное высшее 
ряд 3 среднее специальное</a:t>
                </a:r>
              </a:p>
            </c:rich>
          </c:tx>
          <c:layout>
            <c:manualLayout>
              <c:xMode val="edge"/>
              <c:yMode val="edge"/>
              <c:x val="0.36585365853658536"/>
              <c:y val="0.7191489361702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08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086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педагогов</a:t>
                </a:r>
              </a:p>
            </c:rich>
          </c:tx>
          <c:layout>
            <c:manualLayout>
              <c:xMode val="edge"/>
              <c:yMode val="edge"/>
              <c:x val="0.15121951219512195"/>
              <c:y val="0.374468085106382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999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квалификации</a:t>
            </a:r>
          </a:p>
        </c:rich>
      </c:tx>
      <c:layout>
        <c:manualLayout>
          <c:xMode val="edge"/>
          <c:yMode val="edge"/>
          <c:x val="0.34497816593886466"/>
          <c:y val="1.860465116279069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995633187772926"/>
          <c:y val="0.18604651162790697"/>
          <c:w val="0.72925764192139741"/>
          <c:h val="0.5441860465116279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разряд9</c:v>
                </c:pt>
                <c:pt idx="4">
                  <c:v>разряд7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44018688"/>
        <c:axId val="43088640"/>
        <c:axId val="155692160"/>
      </c:bar3DChart>
      <c:catAx>
        <c:axId val="44018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категория</a:t>
                </a:r>
              </a:p>
            </c:rich>
          </c:tx>
          <c:layout>
            <c:manualLayout>
              <c:xMode val="edge"/>
              <c:yMode val="edge"/>
              <c:x val="0.46724890829694321"/>
              <c:y val="0.767441860465116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08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0886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педагогов</a:t>
                </a:r>
              </a:p>
            </c:rich>
          </c:tx>
          <c:layout>
            <c:manualLayout>
              <c:xMode val="edge"/>
              <c:yMode val="edge"/>
              <c:x val="2.6200873362445413E-2"/>
              <c:y val="0.4139534883720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018688"/>
        <c:crosses val="autoZero"/>
        <c:crossBetween val="between"/>
      </c:valAx>
      <c:serAx>
        <c:axId val="15569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088640"/>
        <c:crosses val="autoZero"/>
        <c:tickLblSkip val="1"/>
        <c:tickMarkSkip val="1"/>
      </c:ser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UserComp</dc:creator>
  <cp:keywords/>
  <dc:description/>
  <cp:lastModifiedBy>DetsadComp</cp:lastModifiedBy>
  <cp:revision>6</cp:revision>
  <dcterms:created xsi:type="dcterms:W3CDTF">2025-04-09T05:49:00Z</dcterms:created>
  <dcterms:modified xsi:type="dcterms:W3CDTF">2025-04-22T03:50:00Z</dcterms:modified>
</cp:coreProperties>
</file>